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These are the current requirements for smoke and CO detectors.  New Items are highlighted in red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1)  Smoke detectors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Must be hardwired, battery backup and interconnected (interconnection can be wireless)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Must be on every level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of the house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Cannot be more than 10 years old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if more than 1 sleeping area on the same level, then must be placed in corridors outside each sleeping area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2)  CO detectors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Must be on all levels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(if required* see below)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Must be audible in all bedrooms, additional CO detectors must be added if needed 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Cannot be more than 10 years old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Must be one of the following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10 year sealed battery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Hardwired with battery backup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Combination with smoke detector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part of a monitored system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These will no longer be acceptable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9 volt, AA or AAA battery type units</w:t>
      </w:r>
    </w:p>
    <w:p>
      <w:pPr>
        <w:numPr>
          <w:ilvl w:val="0"/>
          <w:numId w:val="4"/>
        </w:numPr>
        <w:tabs>
          <w:tab w:val="left" w:pos="1440" w:leader="none"/>
        </w:tabs>
        <w:spacing w:before="100" w:after="100" w:line="240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FF0000"/>
          <w:spacing w:val="0"/>
          <w:position w:val="0"/>
          <w:sz w:val="20"/>
          <w:shd w:fill="auto" w:val="clear"/>
        </w:rPr>
        <w:t xml:space="preserve">Plug in units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3)  *Houses that are required to have CO detectors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Any fuel burning equipment including, Gas, Oil, or Propane (LP)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Houses with attached garage(s)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Houses that have a fireplace (wood or gas), wood stove, pellet stove or any appliance that produces a flame'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